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8BD08" w14:textId="77777777" w:rsidR="00262B67" w:rsidRDefault="009A7781">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0D8BCCF7" wp14:editId="4742CA4A">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4898B632" w14:textId="77777777" w:rsidR="00262B67" w:rsidRDefault="00262B67">
      <w:pPr>
        <w:pBdr>
          <w:top w:val="nil"/>
          <w:left w:val="nil"/>
          <w:bottom w:val="nil"/>
          <w:right w:val="nil"/>
          <w:between w:val="nil"/>
        </w:pBdr>
        <w:rPr>
          <w:rFonts w:ascii="Calibri" w:eastAsia="Calibri" w:hAnsi="Calibri" w:cs="Calibri"/>
          <w:color w:val="000000"/>
        </w:rPr>
      </w:pPr>
    </w:p>
    <w:p w14:paraId="25927149" w14:textId="77777777" w:rsidR="00262B67" w:rsidRDefault="00262B67" w:rsidP="22A968B7">
      <w:pPr>
        <w:pBdr>
          <w:top w:val="nil"/>
          <w:left w:val="nil"/>
          <w:bottom w:val="nil"/>
          <w:right w:val="nil"/>
          <w:between w:val="nil"/>
        </w:pBdr>
        <w:jc w:val="center"/>
        <w:rPr>
          <w:rFonts w:ascii="Arial" w:eastAsia="Arial" w:hAnsi="Arial" w:cs="Arial"/>
          <w:b/>
          <w:bCs/>
          <w:color w:val="4F81BD"/>
          <w:sz w:val="24"/>
          <w:szCs w:val="24"/>
        </w:rPr>
      </w:pPr>
    </w:p>
    <w:p w14:paraId="7E10BE2E" w14:textId="4B1167EB" w:rsidR="00262B67" w:rsidRDefault="009A7781">
      <w:pPr>
        <w:pBdr>
          <w:top w:val="nil"/>
          <w:left w:val="nil"/>
          <w:bottom w:val="nil"/>
          <w:right w:val="nil"/>
          <w:between w:val="nil"/>
        </w:pBdr>
        <w:jc w:val="center"/>
        <w:rPr>
          <w:rFonts w:ascii="Arial" w:eastAsia="Arial" w:hAnsi="Arial" w:cs="Arial"/>
          <w:b/>
          <w:color w:val="4F81BD"/>
          <w:sz w:val="48"/>
          <w:szCs w:val="48"/>
        </w:rPr>
      </w:pPr>
      <w:bookmarkStart w:id="0" w:name="_heading=h.gjdgxs" w:colFirst="0" w:colLast="0"/>
      <w:bookmarkEnd w:id="0"/>
      <w:r>
        <w:rPr>
          <w:rFonts w:ascii="Arial" w:eastAsia="Arial" w:hAnsi="Arial" w:cs="Arial"/>
          <w:b/>
          <w:color w:val="4F81BD"/>
          <w:sz w:val="48"/>
          <w:szCs w:val="48"/>
        </w:rPr>
        <w:t>CHILDREN WITH HEALTH NEEDS WHO ARE UNABLE TO ATTEND SCHOOL POLICY</w:t>
      </w:r>
    </w:p>
    <w:p w14:paraId="5DB6B76C" w14:textId="5BFC5405" w:rsidR="007A6119" w:rsidRDefault="007A6119">
      <w:pPr>
        <w:pBdr>
          <w:top w:val="nil"/>
          <w:left w:val="nil"/>
          <w:bottom w:val="nil"/>
          <w:right w:val="nil"/>
          <w:between w:val="nil"/>
        </w:pBdr>
        <w:jc w:val="center"/>
        <w:rPr>
          <w:rFonts w:ascii="Arial" w:eastAsia="Arial" w:hAnsi="Arial" w:cs="Arial"/>
          <w:b/>
          <w:i/>
          <w:iCs/>
          <w:color w:val="4F81BD"/>
          <w:sz w:val="40"/>
          <w:szCs w:val="40"/>
        </w:rPr>
      </w:pPr>
      <w:r w:rsidRPr="007A6119">
        <w:rPr>
          <w:rFonts w:ascii="Arial" w:eastAsia="Arial" w:hAnsi="Arial" w:cs="Arial"/>
          <w:b/>
          <w:i/>
          <w:iCs/>
          <w:color w:val="4F81BD"/>
          <w:sz w:val="40"/>
          <w:szCs w:val="40"/>
        </w:rPr>
        <w:t>for adoption by all CDAT schools</w:t>
      </w:r>
    </w:p>
    <w:p w14:paraId="23362537" w14:textId="77777777" w:rsidR="007A6119" w:rsidRDefault="007A6119">
      <w:pPr>
        <w:pBdr>
          <w:top w:val="nil"/>
          <w:left w:val="nil"/>
          <w:bottom w:val="nil"/>
          <w:right w:val="nil"/>
          <w:between w:val="nil"/>
        </w:pBdr>
        <w:jc w:val="center"/>
        <w:rPr>
          <w:rFonts w:ascii="Arial" w:eastAsia="Arial" w:hAnsi="Arial" w:cs="Arial"/>
          <w:b/>
          <w:i/>
          <w:iCs/>
          <w:color w:val="4F81BD"/>
          <w:sz w:val="40"/>
          <w:szCs w:val="40"/>
        </w:rPr>
      </w:pPr>
    </w:p>
    <w:p w14:paraId="4C81188E" w14:textId="77777777" w:rsidR="007A6119" w:rsidRPr="007A6119" w:rsidRDefault="007A6119">
      <w:pPr>
        <w:pBdr>
          <w:top w:val="nil"/>
          <w:left w:val="nil"/>
          <w:bottom w:val="nil"/>
          <w:right w:val="nil"/>
          <w:between w:val="nil"/>
        </w:pBdr>
        <w:jc w:val="center"/>
        <w:rPr>
          <w:rFonts w:ascii="Arial" w:eastAsia="Arial" w:hAnsi="Arial" w:cs="Arial"/>
          <w:b/>
          <w:i/>
          <w:iCs/>
          <w:color w:val="4F81BD"/>
          <w:sz w:val="40"/>
          <w:szCs w:val="40"/>
        </w:rPr>
      </w:pPr>
    </w:p>
    <w:p w14:paraId="635CE18C" w14:textId="77777777" w:rsidR="00262B67" w:rsidRDefault="009A7781">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policy is informed by the Christian values which are the basis for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CDAT's work and any actions taken under this policy will reflect this.</w:t>
      </w:r>
    </w:p>
    <w:p w14:paraId="7D4594FE" w14:textId="77777777" w:rsidR="00262B67" w:rsidRDefault="009A7781">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7171CC02" w14:textId="77777777" w:rsidR="00262B67" w:rsidRDefault="009A7781">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522EDD3B" w14:textId="77777777" w:rsidR="007A6119" w:rsidRDefault="007A6119">
      <w:pPr>
        <w:pBdr>
          <w:top w:val="nil"/>
          <w:left w:val="nil"/>
          <w:bottom w:val="nil"/>
          <w:right w:val="nil"/>
          <w:between w:val="nil"/>
        </w:pBdr>
        <w:jc w:val="right"/>
        <w:rPr>
          <w:rFonts w:ascii="Arial" w:eastAsia="Arial" w:hAnsi="Arial" w:cs="Arial"/>
          <w:i/>
          <w:color w:val="000000"/>
          <w:sz w:val="20"/>
          <w:szCs w:val="20"/>
        </w:rPr>
      </w:pPr>
    </w:p>
    <w:p w14:paraId="2E63D365" w14:textId="77777777" w:rsidR="007A6119" w:rsidRDefault="007A6119">
      <w:pPr>
        <w:pBdr>
          <w:top w:val="nil"/>
          <w:left w:val="nil"/>
          <w:bottom w:val="nil"/>
          <w:right w:val="nil"/>
          <w:between w:val="nil"/>
        </w:pBdr>
        <w:jc w:val="right"/>
        <w:rPr>
          <w:rFonts w:ascii="Arial" w:eastAsia="Arial" w:hAnsi="Arial" w:cs="Arial"/>
          <w:i/>
          <w:color w:val="000000"/>
          <w:sz w:val="20"/>
          <w:szCs w:val="20"/>
        </w:rPr>
      </w:pPr>
    </w:p>
    <w:p w14:paraId="25910476" w14:textId="77777777" w:rsidR="007A6119" w:rsidRDefault="007A6119">
      <w:pPr>
        <w:pBdr>
          <w:top w:val="nil"/>
          <w:left w:val="nil"/>
          <w:bottom w:val="nil"/>
          <w:right w:val="nil"/>
          <w:between w:val="nil"/>
        </w:pBdr>
        <w:jc w:val="right"/>
        <w:rPr>
          <w:rFonts w:ascii="Arial" w:eastAsia="Arial" w:hAnsi="Arial" w:cs="Arial"/>
          <w:i/>
          <w:color w:val="000000"/>
          <w:sz w:val="20"/>
          <w:szCs w:val="20"/>
        </w:rPr>
      </w:pPr>
    </w:p>
    <w:p w14:paraId="07AFC3E5" w14:textId="77777777" w:rsidR="007A6119" w:rsidRDefault="007A6119">
      <w:pPr>
        <w:pBdr>
          <w:top w:val="nil"/>
          <w:left w:val="nil"/>
          <w:bottom w:val="nil"/>
          <w:right w:val="nil"/>
          <w:between w:val="nil"/>
        </w:pBdr>
        <w:jc w:val="right"/>
        <w:rPr>
          <w:rFonts w:ascii="Arial" w:eastAsia="Arial" w:hAnsi="Arial" w:cs="Arial"/>
          <w:i/>
          <w:color w:val="000000"/>
          <w:sz w:val="20"/>
          <w:szCs w:val="20"/>
        </w:rPr>
      </w:pPr>
    </w:p>
    <w:p w14:paraId="40DAE8FF" w14:textId="77777777" w:rsidR="007A6119" w:rsidRDefault="007A6119">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754"/>
        <w:gridCol w:w="1853"/>
        <w:gridCol w:w="3051"/>
        <w:gridCol w:w="3118"/>
      </w:tblGrid>
      <w:tr w:rsidR="008751A7" w:rsidRPr="002643C8" w14:paraId="45CDDF23" w14:textId="77777777" w:rsidTr="008751A7">
        <w:tc>
          <w:tcPr>
            <w:tcW w:w="1754" w:type="dxa"/>
          </w:tcPr>
          <w:p w14:paraId="4BDBD61F" w14:textId="77777777" w:rsidR="008751A7" w:rsidRPr="002643C8" w:rsidRDefault="008751A7" w:rsidP="00411C4E">
            <w:pPr>
              <w:jc w:val="center"/>
              <w:rPr>
                <w:rFonts w:ascii="Arial" w:eastAsiaTheme="majorEastAsia" w:hAnsi="Arial" w:cs="Arial"/>
                <w:b/>
                <w:bCs/>
              </w:rPr>
            </w:pPr>
            <w:r w:rsidRPr="002643C8">
              <w:rPr>
                <w:rFonts w:ascii="Arial" w:eastAsiaTheme="majorEastAsia" w:hAnsi="Arial" w:cs="Arial"/>
                <w:b/>
                <w:bCs/>
              </w:rPr>
              <w:t>Approved by</w:t>
            </w:r>
          </w:p>
        </w:tc>
        <w:tc>
          <w:tcPr>
            <w:tcW w:w="1853" w:type="dxa"/>
          </w:tcPr>
          <w:p w14:paraId="4BB23DDA" w14:textId="77777777" w:rsidR="008751A7" w:rsidRPr="002643C8" w:rsidRDefault="008751A7" w:rsidP="00411C4E">
            <w:pPr>
              <w:jc w:val="center"/>
              <w:rPr>
                <w:rFonts w:ascii="Arial" w:eastAsiaTheme="majorEastAsia" w:hAnsi="Arial" w:cs="Arial"/>
                <w:b/>
                <w:bCs/>
              </w:rPr>
            </w:pPr>
            <w:r w:rsidRPr="002643C8">
              <w:rPr>
                <w:rFonts w:ascii="Arial" w:eastAsiaTheme="majorEastAsia" w:hAnsi="Arial" w:cs="Arial"/>
                <w:b/>
                <w:bCs/>
              </w:rPr>
              <w:t>Date</w:t>
            </w:r>
          </w:p>
        </w:tc>
        <w:tc>
          <w:tcPr>
            <w:tcW w:w="3051" w:type="dxa"/>
          </w:tcPr>
          <w:p w14:paraId="0FFB9ED4" w14:textId="77777777" w:rsidR="008751A7" w:rsidRPr="002643C8" w:rsidRDefault="008751A7" w:rsidP="00411C4E">
            <w:pPr>
              <w:jc w:val="center"/>
              <w:rPr>
                <w:rFonts w:ascii="Arial" w:eastAsiaTheme="majorEastAsia" w:hAnsi="Arial" w:cs="Arial"/>
                <w:b/>
                <w:bCs/>
              </w:rPr>
            </w:pPr>
            <w:r w:rsidRPr="002643C8">
              <w:rPr>
                <w:rFonts w:ascii="Arial" w:eastAsiaTheme="majorEastAsia" w:hAnsi="Arial" w:cs="Arial"/>
                <w:b/>
                <w:bCs/>
              </w:rPr>
              <w:t>Review Schedule</w:t>
            </w:r>
          </w:p>
        </w:tc>
        <w:tc>
          <w:tcPr>
            <w:tcW w:w="3118" w:type="dxa"/>
          </w:tcPr>
          <w:p w14:paraId="4308DB32" w14:textId="77777777" w:rsidR="008751A7" w:rsidRPr="002643C8" w:rsidRDefault="008751A7" w:rsidP="00411C4E">
            <w:pPr>
              <w:jc w:val="center"/>
              <w:rPr>
                <w:rFonts w:ascii="Arial" w:eastAsiaTheme="majorEastAsia" w:hAnsi="Arial" w:cs="Arial"/>
                <w:b/>
                <w:bCs/>
              </w:rPr>
            </w:pPr>
            <w:r w:rsidRPr="002643C8">
              <w:rPr>
                <w:rFonts w:ascii="Arial" w:eastAsiaTheme="majorEastAsia" w:hAnsi="Arial" w:cs="Arial"/>
                <w:b/>
                <w:bCs/>
              </w:rPr>
              <w:t>Date of next review</w:t>
            </w:r>
          </w:p>
        </w:tc>
      </w:tr>
      <w:tr w:rsidR="008751A7" w:rsidRPr="002643C8" w14:paraId="445C1BC1" w14:textId="77777777" w:rsidTr="008751A7">
        <w:tc>
          <w:tcPr>
            <w:tcW w:w="1754" w:type="dxa"/>
          </w:tcPr>
          <w:p w14:paraId="05F6109E" w14:textId="77777777" w:rsidR="008751A7" w:rsidRPr="002643C8" w:rsidRDefault="008751A7" w:rsidP="00411C4E">
            <w:pPr>
              <w:jc w:val="center"/>
              <w:rPr>
                <w:rFonts w:ascii="Arial" w:eastAsiaTheme="majorEastAsia" w:hAnsi="Arial" w:cs="Arial"/>
              </w:rPr>
            </w:pPr>
            <w:r w:rsidRPr="002643C8">
              <w:rPr>
                <w:rFonts w:ascii="Arial" w:eastAsiaTheme="majorEastAsia" w:hAnsi="Arial" w:cs="Arial"/>
              </w:rPr>
              <w:t>Trust Board</w:t>
            </w:r>
          </w:p>
        </w:tc>
        <w:tc>
          <w:tcPr>
            <w:tcW w:w="1853" w:type="dxa"/>
          </w:tcPr>
          <w:p w14:paraId="4BE83B24" w14:textId="77777777" w:rsidR="008751A7" w:rsidRPr="002643C8" w:rsidRDefault="008751A7" w:rsidP="00411C4E">
            <w:pPr>
              <w:jc w:val="center"/>
              <w:rPr>
                <w:rFonts w:ascii="Arial" w:eastAsiaTheme="majorEastAsia" w:hAnsi="Arial" w:cs="Arial"/>
              </w:rPr>
            </w:pPr>
            <w:r w:rsidRPr="002643C8">
              <w:rPr>
                <w:rFonts w:ascii="Arial" w:eastAsiaTheme="majorEastAsia" w:hAnsi="Arial" w:cs="Arial"/>
              </w:rPr>
              <w:t>September 2024</w:t>
            </w:r>
          </w:p>
        </w:tc>
        <w:tc>
          <w:tcPr>
            <w:tcW w:w="3051" w:type="dxa"/>
          </w:tcPr>
          <w:p w14:paraId="2731A155" w14:textId="77777777" w:rsidR="008751A7" w:rsidRPr="002643C8" w:rsidRDefault="008751A7" w:rsidP="00411C4E">
            <w:pPr>
              <w:jc w:val="center"/>
              <w:rPr>
                <w:rFonts w:ascii="Arial" w:eastAsiaTheme="majorEastAsia" w:hAnsi="Arial" w:cs="Arial"/>
              </w:rPr>
            </w:pPr>
            <w:r w:rsidRPr="002643C8">
              <w:rPr>
                <w:rFonts w:ascii="Arial" w:eastAsiaTheme="majorEastAsia" w:hAnsi="Arial" w:cs="Arial"/>
              </w:rPr>
              <w:t>Annually</w:t>
            </w:r>
          </w:p>
        </w:tc>
        <w:tc>
          <w:tcPr>
            <w:tcW w:w="3118" w:type="dxa"/>
          </w:tcPr>
          <w:p w14:paraId="3606F7C5" w14:textId="314B43E3" w:rsidR="008751A7" w:rsidRPr="002643C8" w:rsidRDefault="008751A7" w:rsidP="00411C4E">
            <w:pPr>
              <w:jc w:val="center"/>
              <w:rPr>
                <w:rFonts w:ascii="Arial" w:eastAsiaTheme="majorEastAsia" w:hAnsi="Arial" w:cs="Arial"/>
              </w:rPr>
            </w:pPr>
            <w:r w:rsidRPr="002643C8">
              <w:rPr>
                <w:rFonts w:ascii="Arial" w:eastAsiaTheme="majorEastAsia" w:hAnsi="Arial" w:cs="Arial"/>
              </w:rPr>
              <w:t>September 2025</w:t>
            </w:r>
          </w:p>
        </w:tc>
      </w:tr>
    </w:tbl>
    <w:p w14:paraId="338182FE" w14:textId="77777777" w:rsidR="007A6119" w:rsidRDefault="007A6119">
      <w:pPr>
        <w:pBdr>
          <w:top w:val="nil"/>
          <w:left w:val="nil"/>
          <w:bottom w:val="nil"/>
          <w:right w:val="nil"/>
          <w:between w:val="nil"/>
        </w:pBdr>
        <w:jc w:val="right"/>
        <w:rPr>
          <w:rFonts w:ascii="Arial" w:eastAsia="Arial" w:hAnsi="Arial" w:cs="Arial"/>
          <w:i/>
          <w:color w:val="000000"/>
          <w:sz w:val="20"/>
          <w:szCs w:val="20"/>
        </w:rPr>
      </w:pPr>
    </w:p>
    <w:p w14:paraId="1AD0371B" w14:textId="77777777" w:rsidR="007A6119" w:rsidRDefault="007A6119" w:rsidP="007A6119">
      <w:pPr>
        <w:pStyle w:val="Footer"/>
        <w:jc w:val="center"/>
      </w:pPr>
    </w:p>
    <w:p w14:paraId="35AC4CC2" w14:textId="77777777" w:rsidR="00262B67" w:rsidRDefault="00262B67" w:rsidP="575C6B17">
      <w:pPr>
        <w:pStyle w:val="Heading2"/>
        <w:tabs>
          <w:tab w:val="left" w:pos="284"/>
        </w:tabs>
        <w:spacing w:after="160"/>
        <w:rPr>
          <w:rFonts w:ascii="Arial" w:eastAsia="Arial" w:hAnsi="Arial" w:cs="Arial"/>
          <w:sz w:val="16"/>
          <w:szCs w:val="16"/>
        </w:rPr>
      </w:pPr>
      <w:bookmarkStart w:id="1" w:name="_heading=h.30j0zll"/>
      <w:bookmarkEnd w:id="1"/>
    </w:p>
    <w:p w14:paraId="5FF803F1" w14:textId="77777777" w:rsidR="00545A30" w:rsidRPr="00545A30" w:rsidRDefault="00545A30" w:rsidP="00545A30"/>
    <w:p w14:paraId="2E0974D6" w14:textId="77777777" w:rsidR="00262B67" w:rsidRPr="00545A30" w:rsidRDefault="009A7781">
      <w:pPr>
        <w:pStyle w:val="Heading2"/>
        <w:spacing w:after="120"/>
        <w:rPr>
          <w:rFonts w:ascii="Arial" w:eastAsia="Arial" w:hAnsi="Arial" w:cs="Arial"/>
        </w:rPr>
      </w:pPr>
      <w:bookmarkStart w:id="2" w:name="_heading=h.1fob9te" w:colFirst="0" w:colLast="0"/>
      <w:bookmarkEnd w:id="2"/>
      <w:r w:rsidRPr="00545A30">
        <w:rPr>
          <w:rFonts w:ascii="Arial" w:eastAsia="Arial" w:hAnsi="Arial" w:cs="Arial"/>
        </w:rPr>
        <w:lastRenderedPageBreak/>
        <w:t>1. Introduction</w:t>
      </w:r>
    </w:p>
    <w:p w14:paraId="3BD3FEB9" w14:textId="77777777" w:rsidR="00262B67" w:rsidRPr="00545A30" w:rsidRDefault="009A7781">
      <w:pPr>
        <w:rPr>
          <w:rFonts w:ascii="Arial" w:eastAsia="Arial" w:hAnsi="Arial" w:cs="Arial"/>
        </w:rPr>
      </w:pPr>
      <w:r w:rsidRPr="00545A30">
        <w:rPr>
          <w:rFonts w:ascii="Arial" w:eastAsia="Arial" w:hAnsi="Arial" w:cs="Arial"/>
        </w:rPr>
        <w:t xml:space="preserve">CDAT aims to support the various Local Authorities that it works with to ensure that all children who are unable to attend school due to medical needs, and who would not receive suitable education without such provision, continue to have access to as much education as their medical condition allows so that they can reach their full potential. </w:t>
      </w:r>
    </w:p>
    <w:p w14:paraId="4EDFD5E6" w14:textId="77777777" w:rsidR="00262B67" w:rsidRPr="00545A30" w:rsidRDefault="009A7781">
      <w:pPr>
        <w:rPr>
          <w:rFonts w:ascii="Arial" w:eastAsia="Arial" w:hAnsi="Arial" w:cs="Arial"/>
        </w:rPr>
      </w:pPr>
      <w:r w:rsidRPr="00545A30">
        <w:rPr>
          <w:rFonts w:ascii="Arial" w:eastAsia="Arial" w:hAnsi="Arial" w:cs="Arial"/>
        </w:rPr>
        <w:t xml:space="preserve">Due to the nature of their health needs, some children may be admitted to hospital or placed in alternative forms of education provision. We recognise that, whenever possible, pupils should receive their education within their school and the aim of the provision will be to reintegrate pupils back into school as soon as they are well enough. </w:t>
      </w:r>
    </w:p>
    <w:p w14:paraId="7C1DB876" w14:textId="77777777" w:rsidR="00262B67" w:rsidRPr="00545A30" w:rsidRDefault="009A7781">
      <w:pPr>
        <w:rPr>
          <w:rFonts w:ascii="Arial" w:eastAsia="Arial" w:hAnsi="Arial" w:cs="Arial"/>
        </w:rPr>
      </w:pPr>
      <w:r w:rsidRPr="00545A30">
        <w:rPr>
          <w:rFonts w:ascii="Arial" w:eastAsia="Arial" w:hAnsi="Arial" w:cs="Arial"/>
        </w:rPr>
        <w:t xml:space="preserve">We also appreciate that the trust and its schools have a continuing role in a child’s education whilst they are not attending their ‘normal’ school and will work with the relevant local authority, healthcare partners and families to ensure that all children with medical needs receive the right level of support to enable them to maintain links with their education. </w:t>
      </w:r>
    </w:p>
    <w:p w14:paraId="1B3A73E4" w14:textId="77777777" w:rsidR="00262B67" w:rsidRPr="00545A30" w:rsidRDefault="009A7781">
      <w:pPr>
        <w:rPr>
          <w:rFonts w:ascii="Arial" w:eastAsia="Arial" w:hAnsi="Arial" w:cs="Arial"/>
        </w:rPr>
      </w:pPr>
      <w:r w:rsidRPr="00545A30">
        <w:rPr>
          <w:rFonts w:ascii="Arial" w:eastAsia="Arial" w:hAnsi="Arial" w:cs="Arial"/>
        </w:rPr>
        <w:t>This policy aims to ensure that:</w:t>
      </w:r>
    </w:p>
    <w:p w14:paraId="2C7CB065" w14:textId="77777777" w:rsidR="00262B67" w:rsidRPr="00545A30" w:rsidRDefault="009A7781">
      <w:pPr>
        <w:numPr>
          <w:ilvl w:val="0"/>
          <w:numId w:val="1"/>
        </w:numPr>
        <w:pBdr>
          <w:top w:val="nil"/>
          <w:left w:val="nil"/>
          <w:bottom w:val="nil"/>
          <w:right w:val="nil"/>
          <w:between w:val="nil"/>
        </w:pBdr>
        <w:spacing w:after="0"/>
        <w:rPr>
          <w:rFonts w:ascii="Arial" w:eastAsia="Arial" w:hAnsi="Arial" w:cs="Arial"/>
          <w:color w:val="000000"/>
        </w:rPr>
      </w:pPr>
      <w:r w:rsidRPr="00545A30">
        <w:rPr>
          <w:rFonts w:ascii="Arial" w:eastAsia="Arial" w:hAnsi="Arial" w:cs="Arial"/>
          <w:color w:val="000000"/>
        </w:rPr>
        <w:t xml:space="preserve">Suitable education is arranged for pupils on roll who cannot attend school due to health needs </w:t>
      </w:r>
    </w:p>
    <w:p w14:paraId="4687DFDE" w14:textId="77777777" w:rsidR="00262B67" w:rsidRPr="00545A30" w:rsidRDefault="009A7781">
      <w:pPr>
        <w:numPr>
          <w:ilvl w:val="0"/>
          <w:numId w:val="1"/>
        </w:numPr>
        <w:pBdr>
          <w:top w:val="nil"/>
          <w:left w:val="nil"/>
          <w:bottom w:val="nil"/>
          <w:right w:val="nil"/>
          <w:between w:val="nil"/>
        </w:pBdr>
        <w:spacing w:after="0"/>
        <w:rPr>
          <w:rFonts w:ascii="Arial" w:eastAsia="Arial" w:hAnsi="Arial" w:cs="Arial"/>
          <w:color w:val="000000"/>
        </w:rPr>
      </w:pPr>
      <w:r w:rsidRPr="00545A30">
        <w:rPr>
          <w:rFonts w:ascii="Arial" w:eastAsia="Arial" w:hAnsi="Arial" w:cs="Arial"/>
          <w:color w:val="000000"/>
        </w:rPr>
        <w:t xml:space="preserve">Pupils, staff and parents understand what the school is responsible for when this education is being provided by the local authority. </w:t>
      </w:r>
    </w:p>
    <w:p w14:paraId="65A424EF" w14:textId="77777777" w:rsidR="00262B67" w:rsidRPr="00545A30" w:rsidRDefault="009A7781">
      <w:pPr>
        <w:numPr>
          <w:ilvl w:val="0"/>
          <w:numId w:val="1"/>
        </w:numPr>
        <w:pBdr>
          <w:top w:val="nil"/>
          <w:left w:val="nil"/>
          <w:bottom w:val="nil"/>
          <w:right w:val="nil"/>
          <w:between w:val="nil"/>
        </w:pBdr>
        <w:spacing w:after="0"/>
        <w:rPr>
          <w:rFonts w:ascii="Arial" w:eastAsia="Arial" w:hAnsi="Arial" w:cs="Arial"/>
          <w:color w:val="000000"/>
        </w:rPr>
      </w:pPr>
      <w:r w:rsidRPr="00545A30">
        <w:rPr>
          <w:rFonts w:ascii="Arial" w:eastAsia="Arial" w:hAnsi="Arial" w:cs="Arial"/>
          <w:color w:val="000000"/>
        </w:rPr>
        <w:t>CDAT and its schools follow the most recent government and best-practice guidance:</w:t>
      </w:r>
    </w:p>
    <w:p w14:paraId="6529C422" w14:textId="77777777" w:rsidR="00262B67" w:rsidRPr="001D25FF" w:rsidRDefault="00000000">
      <w:pPr>
        <w:numPr>
          <w:ilvl w:val="1"/>
          <w:numId w:val="1"/>
        </w:numPr>
        <w:pBdr>
          <w:top w:val="nil"/>
          <w:left w:val="nil"/>
          <w:bottom w:val="nil"/>
          <w:right w:val="nil"/>
          <w:between w:val="nil"/>
        </w:pBdr>
        <w:spacing w:after="0"/>
        <w:rPr>
          <w:rFonts w:ascii="Arial" w:eastAsia="Arial" w:hAnsi="Arial" w:cs="Arial"/>
          <w:color w:val="4F81BD" w:themeColor="accent1"/>
        </w:rPr>
      </w:pPr>
      <w:hyperlink r:id="rId9">
        <w:r w:rsidR="009A7781" w:rsidRPr="001D25FF">
          <w:rPr>
            <w:rFonts w:ascii="Arial" w:eastAsia="Arial" w:hAnsi="Arial" w:cs="Arial"/>
            <w:color w:val="4F81BD" w:themeColor="accent1"/>
            <w:u w:val="single"/>
          </w:rPr>
          <w:t>https://assets.publishing.service.gov.uk/government/uploads/system/uploads/attachment_data/file/269469/health_needs_guidance__-_revised_may_2013_final.pdf</w:t>
        </w:r>
      </w:hyperlink>
    </w:p>
    <w:p w14:paraId="035C10E0" w14:textId="12E15C35" w:rsidR="001D25FF" w:rsidRPr="001D25FF" w:rsidRDefault="001D25FF" w:rsidP="001D25FF">
      <w:pPr>
        <w:pStyle w:val="ListParagraph"/>
        <w:numPr>
          <w:ilvl w:val="0"/>
          <w:numId w:val="5"/>
        </w:numPr>
        <w:pBdr>
          <w:top w:val="nil"/>
          <w:left w:val="nil"/>
          <w:bottom w:val="nil"/>
          <w:right w:val="nil"/>
          <w:between w:val="nil"/>
        </w:pBdr>
        <w:spacing w:after="160"/>
        <w:ind w:left="1434" w:hanging="357"/>
        <w:rPr>
          <w:color w:val="4F81BD" w:themeColor="accent1"/>
        </w:rPr>
      </w:pPr>
      <w:hyperlink r:id="rId10" w:history="1">
        <w:r w:rsidRPr="001D25FF">
          <w:rPr>
            <w:rStyle w:val="Hyperlink"/>
            <w:color w:val="4F81BD" w:themeColor="accent1"/>
          </w:rPr>
          <w:t>https://nasen.org.uk/resources?title=&amp;field_category_target_id%5B696%5D=696</w:t>
        </w:r>
      </w:hyperlink>
    </w:p>
    <w:p w14:paraId="7BD3A3B8" w14:textId="5802ED72" w:rsidR="00262B67" w:rsidRPr="00545A30" w:rsidRDefault="009A7781" w:rsidP="575C6B17">
      <w:pPr>
        <w:pBdr>
          <w:top w:val="nil"/>
          <w:left w:val="nil"/>
          <w:bottom w:val="nil"/>
          <w:right w:val="nil"/>
          <w:between w:val="nil"/>
        </w:pBdr>
        <w:spacing w:after="160"/>
        <w:rPr>
          <w:rFonts w:ascii="Arial" w:eastAsia="Arial" w:hAnsi="Arial" w:cs="Arial"/>
          <w:b/>
          <w:bCs/>
          <w:color w:val="000000" w:themeColor="text1"/>
        </w:rPr>
      </w:pPr>
      <w:r w:rsidRPr="00545A30">
        <w:rPr>
          <w:rFonts w:ascii="Arial" w:eastAsia="Arial" w:hAnsi="Arial" w:cs="Arial"/>
          <w:color w:val="000000" w:themeColor="text1"/>
        </w:rPr>
        <w:t xml:space="preserve">This policy should be read in conjunction with CDAT’s policy on </w:t>
      </w:r>
      <w:r w:rsidRPr="00545A30">
        <w:rPr>
          <w:rFonts w:ascii="Arial" w:eastAsia="Arial" w:hAnsi="Arial" w:cs="Arial"/>
          <w:b/>
          <w:bCs/>
          <w:color w:val="000000" w:themeColor="text1"/>
        </w:rPr>
        <w:t>Supporting Pupils at School with Medical Conditions.</w:t>
      </w:r>
    </w:p>
    <w:p w14:paraId="50974229" w14:textId="2D404B2A" w:rsidR="22A968B7" w:rsidRPr="00545A30" w:rsidRDefault="22A968B7" w:rsidP="22A968B7">
      <w:pPr>
        <w:pBdr>
          <w:top w:val="nil"/>
          <w:left w:val="nil"/>
          <w:bottom w:val="nil"/>
          <w:right w:val="nil"/>
          <w:between w:val="nil"/>
        </w:pBdr>
        <w:spacing w:after="160"/>
        <w:rPr>
          <w:rFonts w:ascii="Arial" w:eastAsia="Arial" w:hAnsi="Arial" w:cs="Arial"/>
          <w:b/>
          <w:bCs/>
          <w:color w:val="000000" w:themeColor="text1"/>
          <w:sz w:val="12"/>
          <w:szCs w:val="12"/>
        </w:rPr>
      </w:pPr>
    </w:p>
    <w:p w14:paraId="013CC76D" w14:textId="77777777" w:rsidR="00262B67" w:rsidRPr="00545A30" w:rsidRDefault="009A7781">
      <w:pPr>
        <w:pStyle w:val="Heading2"/>
        <w:spacing w:after="120"/>
        <w:rPr>
          <w:rFonts w:ascii="Arial" w:eastAsia="Arial" w:hAnsi="Arial" w:cs="Arial"/>
        </w:rPr>
      </w:pPr>
      <w:r w:rsidRPr="00545A30">
        <w:rPr>
          <w:rFonts w:ascii="Arial" w:eastAsia="Arial" w:hAnsi="Arial" w:cs="Arial"/>
        </w:rPr>
        <w:t>2. Responsibilities</w:t>
      </w:r>
    </w:p>
    <w:p w14:paraId="13BB6490" w14:textId="77777777" w:rsidR="00262B67" w:rsidRPr="00545A30" w:rsidRDefault="009A7781">
      <w:pPr>
        <w:rPr>
          <w:rFonts w:ascii="Arial" w:eastAsia="Arial" w:hAnsi="Arial" w:cs="Arial"/>
        </w:rPr>
      </w:pPr>
      <w:r w:rsidRPr="00545A30">
        <w:rPr>
          <w:rFonts w:ascii="Arial" w:eastAsia="Arial" w:hAnsi="Arial" w:cs="Arial"/>
        </w:rPr>
        <w:t>Each local authority has an Education for Children with Medical Needs policy (or similar) which sets out how it will meet its statutory responsibilities in assessing the needs of children who are unable to attend school. It also describes how they make suitable provision to address those needs.</w:t>
      </w:r>
    </w:p>
    <w:p w14:paraId="170D9220" w14:textId="77777777" w:rsidR="00262B67" w:rsidRPr="00545A30" w:rsidRDefault="009A7781">
      <w:pPr>
        <w:rPr>
          <w:rFonts w:ascii="Arial" w:eastAsia="Arial" w:hAnsi="Arial" w:cs="Arial"/>
        </w:rPr>
      </w:pPr>
      <w:r w:rsidRPr="00545A30">
        <w:rPr>
          <w:rFonts w:ascii="Arial" w:eastAsia="Arial" w:hAnsi="Arial" w:cs="Arial"/>
        </w:rPr>
        <w:t xml:space="preserve">CDAT’s policy for Supporting Pupils at School with Medical Conditions (published on the CDAT website) describes how pupils will be supported within individual schools. This policy outlines the procedures to be followed if a school is notified that a pupil has a medical condition, the role of individual education and healthcare plans (EHCPs), and who is responsible for their development and implementation. </w:t>
      </w:r>
    </w:p>
    <w:p w14:paraId="7EABA23C" w14:textId="42A1548F" w:rsidR="00262B67" w:rsidRPr="00545A30" w:rsidRDefault="009A7781">
      <w:pPr>
        <w:rPr>
          <w:rFonts w:ascii="Arial" w:eastAsia="Arial" w:hAnsi="Arial" w:cs="Arial"/>
        </w:rPr>
      </w:pPr>
      <w:r w:rsidRPr="00545A30">
        <w:rPr>
          <w:rFonts w:ascii="Arial" w:eastAsia="Arial" w:hAnsi="Arial" w:cs="Arial"/>
        </w:rPr>
        <w:t xml:space="preserve">The Headteacher of each CDAT school is responsible for ensuring that policies, plans, procedures and systems are properly and effectively implemented. Within individual schools, the SENCO will support the academy leadership, staff and families </w:t>
      </w:r>
      <w:proofErr w:type="gramStart"/>
      <w:r w:rsidRPr="00545A30">
        <w:rPr>
          <w:rFonts w:ascii="Arial" w:eastAsia="Arial" w:hAnsi="Arial" w:cs="Arial"/>
        </w:rPr>
        <w:t>with regard to</w:t>
      </w:r>
      <w:proofErr w:type="gramEnd"/>
      <w:r w:rsidRPr="00545A30">
        <w:rPr>
          <w:rFonts w:ascii="Arial" w:eastAsia="Arial" w:hAnsi="Arial" w:cs="Arial"/>
        </w:rPr>
        <w:t xml:space="preserve"> effectively implementing policies linked to SEND, including significant health conditions. </w:t>
      </w:r>
    </w:p>
    <w:p w14:paraId="197BE0BB" w14:textId="77777777" w:rsidR="00262B67" w:rsidRPr="00545A30" w:rsidRDefault="00262B67">
      <w:pPr>
        <w:rPr>
          <w:rFonts w:ascii="Arial" w:eastAsia="Arial" w:hAnsi="Arial" w:cs="Arial"/>
          <w:sz w:val="12"/>
          <w:szCs w:val="12"/>
        </w:rPr>
      </w:pPr>
    </w:p>
    <w:p w14:paraId="40692AA5" w14:textId="77777777" w:rsidR="00262B67" w:rsidRPr="00545A30" w:rsidRDefault="009A7781">
      <w:pPr>
        <w:pStyle w:val="Heading2"/>
        <w:spacing w:after="120"/>
        <w:rPr>
          <w:rFonts w:ascii="Arial" w:eastAsia="Arial" w:hAnsi="Arial" w:cs="Arial"/>
        </w:rPr>
      </w:pPr>
      <w:r w:rsidRPr="00545A30">
        <w:rPr>
          <w:rFonts w:ascii="Arial" w:eastAsia="Arial" w:hAnsi="Arial" w:cs="Arial"/>
        </w:rPr>
        <w:t>3. Provision</w:t>
      </w:r>
    </w:p>
    <w:p w14:paraId="1D95C513" w14:textId="77777777" w:rsidR="00262B67" w:rsidRPr="00545A30" w:rsidRDefault="009A7781">
      <w:pPr>
        <w:pBdr>
          <w:top w:val="nil"/>
          <w:left w:val="nil"/>
          <w:bottom w:val="nil"/>
          <w:right w:val="nil"/>
          <w:between w:val="nil"/>
        </w:pBdr>
        <w:spacing w:after="160"/>
        <w:rPr>
          <w:rFonts w:ascii="Arial" w:eastAsia="Arial" w:hAnsi="Arial" w:cs="Arial"/>
          <w:b/>
          <w:color w:val="000000"/>
        </w:rPr>
      </w:pPr>
      <w:r w:rsidRPr="00545A30">
        <w:rPr>
          <w:rFonts w:ascii="Arial" w:eastAsia="Arial" w:hAnsi="Arial" w:cs="Arial"/>
          <w:color w:val="000000"/>
        </w:rPr>
        <w:t xml:space="preserve">Initially, the school will attempt to </w:t>
      </w:r>
      <w:proofErr w:type="gramStart"/>
      <w:r w:rsidRPr="00545A30">
        <w:rPr>
          <w:rFonts w:ascii="Arial" w:eastAsia="Arial" w:hAnsi="Arial" w:cs="Arial"/>
          <w:color w:val="000000"/>
        </w:rPr>
        <w:t>make arrangements</w:t>
      </w:r>
      <w:proofErr w:type="gramEnd"/>
      <w:r w:rsidRPr="00545A30">
        <w:rPr>
          <w:rFonts w:ascii="Arial" w:eastAsia="Arial" w:hAnsi="Arial" w:cs="Arial"/>
          <w:color w:val="000000"/>
        </w:rPr>
        <w:t xml:space="preserve"> to deliver suitable education for children with health needs who cannot attend school. The SENCO will be the lead person in the school. Further details can be found in the </w:t>
      </w:r>
      <w:r w:rsidRPr="00545A30">
        <w:rPr>
          <w:rFonts w:ascii="Arial" w:eastAsia="Arial" w:hAnsi="Arial" w:cs="Arial"/>
          <w:b/>
          <w:color w:val="000000"/>
        </w:rPr>
        <w:t>Supporting Pupils at School with Medical Conditions Policy.</w:t>
      </w:r>
    </w:p>
    <w:p w14:paraId="15B6282C" w14:textId="77777777" w:rsidR="00262B67" w:rsidRPr="00545A30" w:rsidRDefault="009A7781">
      <w:pPr>
        <w:rPr>
          <w:rFonts w:ascii="Arial" w:eastAsia="Arial" w:hAnsi="Arial" w:cs="Arial"/>
          <w:i/>
        </w:rPr>
      </w:pPr>
      <w:r w:rsidRPr="00545A30">
        <w:rPr>
          <w:rFonts w:ascii="Arial" w:eastAsia="Arial" w:hAnsi="Arial" w:cs="Arial"/>
        </w:rPr>
        <w:lastRenderedPageBreak/>
        <w:t>If the academy cannot make suitable arrangements, the responsibility for providing suitable education for the pupil falls to the local authority</w:t>
      </w:r>
      <w:r w:rsidRPr="00545A30">
        <w:rPr>
          <w:rFonts w:ascii="Arial" w:eastAsia="Arial" w:hAnsi="Arial" w:cs="Arial"/>
          <w:b/>
          <w:i/>
        </w:rPr>
        <w:t>: “LAs are responsible for arranging suitable full-time education for permanently excluded pupils, and for other children who – because of illness or other reasons – would not receive suitable education without such provision. This means that where a child cannot attend school because of health problems, and would not otherwise receive a suitable full-time education, the LA is responsible for arranging</w:t>
      </w:r>
      <w:r w:rsidRPr="00545A30">
        <w:rPr>
          <w:rFonts w:ascii="Arial" w:eastAsia="Arial" w:hAnsi="Arial" w:cs="Arial"/>
          <w:b/>
          <w:i/>
          <w:sz w:val="20"/>
          <w:szCs w:val="20"/>
        </w:rPr>
        <w:t xml:space="preserve"> </w:t>
      </w:r>
      <w:r w:rsidRPr="00545A30">
        <w:rPr>
          <w:rFonts w:ascii="Arial" w:eastAsia="Arial" w:hAnsi="Arial" w:cs="Arial"/>
          <w:b/>
          <w:i/>
        </w:rPr>
        <w:t xml:space="preserve">provision.” </w:t>
      </w:r>
      <w:r w:rsidRPr="00545A30">
        <w:rPr>
          <w:rFonts w:ascii="Arial" w:eastAsia="Arial" w:hAnsi="Arial" w:cs="Arial"/>
          <w:i/>
        </w:rPr>
        <w:t>(Ensuring a good education for children who cannot attend school because of health needs: Statutory guidance for local authorities)</w:t>
      </w:r>
    </w:p>
    <w:p w14:paraId="082FD14A" w14:textId="77777777" w:rsidR="00262B67" w:rsidRPr="00545A30" w:rsidRDefault="009A7781">
      <w:pPr>
        <w:rPr>
          <w:rFonts w:ascii="Arial" w:eastAsia="Arial" w:hAnsi="Arial" w:cs="Arial"/>
        </w:rPr>
      </w:pPr>
      <w:r w:rsidRPr="00545A30">
        <w:rPr>
          <w:rFonts w:ascii="Arial" w:eastAsia="Arial" w:hAnsi="Arial" w:cs="Arial"/>
        </w:rPr>
        <w:t>Pupils for whom the local authority are arranging educational provision will remain on the school’s roll unless removal from the roll is requested by parents and supported by the school medical officer. The school will take advice from the local authority regarding appropriate coding for absences, and these absences will fall outside of the normal coverage of the school’s Attendance Policy.</w:t>
      </w:r>
    </w:p>
    <w:p w14:paraId="2D7CCB4A" w14:textId="77777777" w:rsidR="00262B67" w:rsidRPr="00545A30" w:rsidRDefault="009A7781">
      <w:pPr>
        <w:rPr>
          <w:rFonts w:ascii="Arial" w:eastAsia="Arial" w:hAnsi="Arial" w:cs="Arial"/>
        </w:rPr>
      </w:pPr>
      <w:r w:rsidRPr="00545A30">
        <w:rPr>
          <w:rFonts w:ascii="Arial" w:eastAsia="Arial" w:hAnsi="Arial" w:cs="Arial"/>
        </w:rPr>
        <w:t>While a child is receiving alternative education provision organised by the local authority, the school will continue to work closely with the local authority and parents to monitor the pupil’s progress and to develop plans for re-integrating the pupil into the school at an appropriate time.</w:t>
      </w:r>
    </w:p>
    <w:p w14:paraId="0716727C" w14:textId="7D6F36DB" w:rsidR="22A968B7" w:rsidRPr="00545A30" w:rsidRDefault="22A968B7" w:rsidP="22A968B7">
      <w:pPr>
        <w:rPr>
          <w:rFonts w:ascii="Arial" w:eastAsia="Arial" w:hAnsi="Arial" w:cs="Arial"/>
          <w:sz w:val="12"/>
          <w:szCs w:val="12"/>
        </w:rPr>
      </w:pPr>
    </w:p>
    <w:sectPr w:rsidR="22A968B7" w:rsidRPr="00545A30">
      <w:headerReference w:type="default" r:id="rId11"/>
      <w:footerReference w:type="default" r:id="rId12"/>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50A9C" w14:textId="77777777" w:rsidR="003842E8" w:rsidRDefault="003842E8">
      <w:pPr>
        <w:spacing w:after="0" w:line="240" w:lineRule="auto"/>
      </w:pPr>
      <w:r>
        <w:separator/>
      </w:r>
    </w:p>
  </w:endnote>
  <w:endnote w:type="continuationSeparator" w:id="0">
    <w:p w14:paraId="2B9D32AA" w14:textId="77777777" w:rsidR="003842E8" w:rsidRDefault="003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D05B" w14:textId="77777777" w:rsidR="008751A7" w:rsidRPr="008751A7" w:rsidRDefault="008751A7" w:rsidP="008751A7">
    <w:pPr>
      <w:pBdr>
        <w:top w:val="nil"/>
        <w:left w:val="nil"/>
        <w:bottom w:val="nil"/>
        <w:right w:val="nil"/>
        <w:between w:val="nil"/>
      </w:pBdr>
      <w:tabs>
        <w:tab w:val="center" w:pos="4513"/>
        <w:tab w:val="right" w:pos="9026"/>
      </w:tabs>
      <w:spacing w:after="0" w:line="240" w:lineRule="auto"/>
      <w:rPr>
        <w:rFonts w:ascii="Calibri" w:eastAsia="Calibri" w:hAnsi="Calibri" w:cs="Calibri"/>
        <w:b/>
        <w:bCs/>
        <w:color w:val="000000"/>
        <w:sz w:val="16"/>
        <w:szCs w:val="16"/>
      </w:rPr>
    </w:pPr>
    <w:r w:rsidRPr="008751A7">
      <w:rPr>
        <w:rFonts w:ascii="Calibri" w:eastAsia="Calibri" w:hAnsi="Calibri" w:cs="Calibri"/>
        <w:b/>
        <w:bCs/>
        <w:color w:val="000000" w:themeColor="text1"/>
        <w:sz w:val="16"/>
        <w:szCs w:val="16"/>
      </w:rPr>
      <w:t xml:space="preserve">Children With Health Needs Who Are Unable </w:t>
    </w:r>
    <w:proofErr w:type="gramStart"/>
    <w:r w:rsidRPr="008751A7">
      <w:rPr>
        <w:rFonts w:ascii="Calibri" w:eastAsia="Calibri" w:hAnsi="Calibri" w:cs="Calibri"/>
        <w:b/>
        <w:bCs/>
        <w:color w:val="000000" w:themeColor="text1"/>
        <w:sz w:val="16"/>
        <w:szCs w:val="16"/>
      </w:rPr>
      <w:t>To</w:t>
    </w:r>
    <w:proofErr w:type="gramEnd"/>
    <w:r w:rsidRPr="008751A7">
      <w:rPr>
        <w:rFonts w:ascii="Calibri" w:eastAsia="Calibri" w:hAnsi="Calibri" w:cs="Calibri"/>
        <w:b/>
        <w:bCs/>
        <w:color w:val="000000" w:themeColor="text1"/>
        <w:sz w:val="16"/>
        <w:szCs w:val="16"/>
      </w:rPr>
      <w:t xml:space="preserve"> Attend School policy</w:t>
    </w:r>
  </w:p>
  <w:p w14:paraId="656E7A11" w14:textId="23807E55" w:rsidR="00262B67" w:rsidRPr="008751A7" w:rsidRDefault="009A7781" w:rsidP="008751A7">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16"/>
        <w:szCs w:val="16"/>
      </w:rPr>
    </w:pPr>
    <w:r w:rsidRPr="008751A7">
      <w:rPr>
        <w:rFonts w:ascii="Calibri" w:eastAsia="Calibri" w:hAnsi="Calibri" w:cs="Calibri"/>
        <w:color w:val="000000"/>
        <w:sz w:val="16"/>
        <w:szCs w:val="16"/>
      </w:rPr>
      <w:fldChar w:fldCharType="begin"/>
    </w:r>
    <w:r w:rsidRPr="008751A7">
      <w:rPr>
        <w:rFonts w:ascii="Calibri" w:eastAsia="Calibri" w:hAnsi="Calibri" w:cs="Calibri"/>
        <w:color w:val="000000"/>
        <w:sz w:val="16"/>
        <w:szCs w:val="16"/>
      </w:rPr>
      <w:instrText>PAGE</w:instrText>
    </w:r>
    <w:r w:rsidRPr="008751A7">
      <w:rPr>
        <w:rFonts w:ascii="Calibri" w:eastAsia="Calibri" w:hAnsi="Calibri" w:cs="Calibri"/>
        <w:color w:val="000000"/>
        <w:sz w:val="16"/>
        <w:szCs w:val="16"/>
      </w:rPr>
      <w:fldChar w:fldCharType="separate"/>
    </w:r>
    <w:r w:rsidRPr="008751A7">
      <w:rPr>
        <w:rFonts w:ascii="Calibri" w:eastAsia="Calibri" w:hAnsi="Calibri" w:cs="Calibri"/>
        <w:noProof/>
        <w:color w:val="000000"/>
        <w:sz w:val="16"/>
        <w:szCs w:val="16"/>
      </w:rPr>
      <w:t>1</w:t>
    </w:r>
    <w:r w:rsidRPr="008751A7">
      <w:rPr>
        <w:rFonts w:ascii="Calibri" w:eastAsia="Calibri" w:hAnsi="Calibri" w:cs="Calibr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1DD2F" w14:textId="77777777" w:rsidR="003842E8" w:rsidRDefault="003842E8">
      <w:pPr>
        <w:spacing w:after="0" w:line="240" w:lineRule="auto"/>
      </w:pPr>
      <w:r>
        <w:separator/>
      </w:r>
    </w:p>
  </w:footnote>
  <w:footnote w:type="continuationSeparator" w:id="0">
    <w:p w14:paraId="4DEE812B" w14:textId="77777777" w:rsidR="003842E8" w:rsidRDefault="0038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2A968B7" w14:paraId="18F6B574" w14:textId="77777777" w:rsidTr="22A968B7">
      <w:trPr>
        <w:trHeight w:val="300"/>
      </w:trPr>
      <w:tc>
        <w:tcPr>
          <w:tcW w:w="3485" w:type="dxa"/>
        </w:tcPr>
        <w:p w14:paraId="2497267B" w14:textId="06E27475" w:rsidR="22A968B7" w:rsidRDefault="22A968B7" w:rsidP="22A968B7">
          <w:pPr>
            <w:pStyle w:val="Header"/>
            <w:ind w:left="-115"/>
          </w:pPr>
        </w:p>
      </w:tc>
      <w:tc>
        <w:tcPr>
          <w:tcW w:w="3485" w:type="dxa"/>
        </w:tcPr>
        <w:p w14:paraId="40B75295" w14:textId="64889C51" w:rsidR="22A968B7" w:rsidRDefault="22A968B7" w:rsidP="22A968B7">
          <w:pPr>
            <w:pStyle w:val="Header"/>
            <w:jc w:val="center"/>
          </w:pPr>
        </w:p>
      </w:tc>
      <w:tc>
        <w:tcPr>
          <w:tcW w:w="3485" w:type="dxa"/>
        </w:tcPr>
        <w:p w14:paraId="369B3D3F" w14:textId="31872195" w:rsidR="22A968B7" w:rsidRDefault="22A968B7" w:rsidP="22A968B7">
          <w:pPr>
            <w:pStyle w:val="Header"/>
            <w:ind w:right="-115"/>
            <w:jc w:val="right"/>
          </w:pPr>
        </w:p>
      </w:tc>
    </w:tr>
  </w:tbl>
  <w:p w14:paraId="55675C13" w14:textId="348C2919" w:rsidR="22A968B7" w:rsidRDefault="22A968B7" w:rsidP="22A9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D7350"/>
    <w:multiLevelType w:val="hybridMultilevel"/>
    <w:tmpl w:val="0F4C2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853018"/>
    <w:multiLevelType w:val="multilevel"/>
    <w:tmpl w:val="91D28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2A4F25"/>
    <w:multiLevelType w:val="multilevel"/>
    <w:tmpl w:val="E2A696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9842468">
    <w:abstractNumId w:val="1"/>
  </w:num>
  <w:num w:numId="2" w16cid:durableId="1067071202">
    <w:abstractNumId w:val="2"/>
  </w:num>
  <w:num w:numId="3" w16cid:durableId="1266378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98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53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67"/>
    <w:rsid w:val="001D25FF"/>
    <w:rsid w:val="00262B67"/>
    <w:rsid w:val="003842E8"/>
    <w:rsid w:val="00545A30"/>
    <w:rsid w:val="005F7798"/>
    <w:rsid w:val="007A6119"/>
    <w:rsid w:val="008751A7"/>
    <w:rsid w:val="009A7781"/>
    <w:rsid w:val="00AF068F"/>
    <w:rsid w:val="03671B24"/>
    <w:rsid w:val="06DEE95C"/>
    <w:rsid w:val="22A968B7"/>
    <w:rsid w:val="26604403"/>
    <w:rsid w:val="27688A3C"/>
    <w:rsid w:val="2A36E8CE"/>
    <w:rsid w:val="4BB3A71E"/>
    <w:rsid w:val="575C6B17"/>
    <w:rsid w:val="6788A099"/>
    <w:rsid w:val="7B4EA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CE22"/>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A9240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sen.org.uk/resources?title=&amp;field_category_target_id%5B696%5D=696"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269469/health_needs_guidance__-_revised_may_2013_final.pdf"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kDzsXblJtp1+jA/ldxtbUrjIg==">CgMxLjAyCGguZ2pkZ3hzMgloLjMwajB6bGwyCWguMWZvYjl0ZTgAciExamMyYWlWOXFtU0lKTGVVXzZZb3Q2YUdmQjd5ZWp3Tkg=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9</cp:revision>
  <dcterms:created xsi:type="dcterms:W3CDTF">2023-11-13T09:34:00Z</dcterms:created>
  <dcterms:modified xsi:type="dcterms:W3CDTF">2024-09-20T06:45:00Z</dcterms:modified>
</cp:coreProperties>
</file>